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7A4E9">
      <w:pPr>
        <w:spacing w:before="480" w:after="480" w:line="288" w:lineRule="auto"/>
        <w:ind w:left="0"/>
      </w:pPr>
      <w:r>
        <w:rPr>
          <w:rFonts w:ascii="Arial" w:hAnsi="Arial" w:eastAsia="等线" w:cs="Arial"/>
          <w:b/>
          <w:sz w:val="52"/>
        </w:rPr>
        <w:t>Chronic Disease Management Thinking Rating Scale (CDM-TRS)</w:t>
      </w:r>
    </w:p>
    <w:p w14:paraId="5A7AC73A">
      <w:pPr>
        <w:spacing w:before="120" w:after="120" w:line="288" w:lineRule="auto"/>
        <w:ind w:left="0"/>
        <w:jc w:val="left"/>
      </w:pPr>
      <w:r>
        <w:rPr>
          <w:rFonts w:ascii="Arial" w:hAnsi="Arial" w:eastAsia="等线" w:cs="Arial"/>
          <w:b/>
          <w:sz w:val="22"/>
        </w:rPr>
        <w:t>Applicable Objects</w:t>
      </w:r>
      <w:r>
        <w:rPr>
          <w:rFonts w:ascii="Arial" w:hAnsi="Arial" w:eastAsia="等线" w:cs="Arial"/>
          <w:sz w:val="22"/>
        </w:rPr>
        <w:t>: General practice students, standardized training residents in general practice (used to evaluate their thinking ability in primary care chronic disease management, including continuous management, individualized intervention, and community follow-up)</w:t>
      </w:r>
    </w:p>
    <w:p w14:paraId="7B99A5E1">
      <w:pPr>
        <w:spacing w:before="120" w:after="120" w:line="288" w:lineRule="auto"/>
        <w:ind w:left="0"/>
        <w:jc w:val="left"/>
      </w:pPr>
      <w:r>
        <w:rPr>
          <w:rFonts w:ascii="Arial" w:hAnsi="Arial" w:eastAsia="等线" w:cs="Arial"/>
          <w:b/>
          <w:sz w:val="22"/>
        </w:rPr>
        <w:t>Scoring Instructions</w:t>
      </w:r>
      <w:r>
        <w:rPr>
          <w:rFonts w:ascii="Arial" w:hAnsi="Arial" w:eastAsia="等线" w:cs="Arial"/>
          <w:sz w:val="22"/>
        </w:rPr>
        <w:t>: This scale is designed to assess students' thinking ability in primary care chronic disease management, focusing on three core competencies: continuous management, individualized intervention, and community follow-up. The total score is 100 points, divided into 6 evaluation dimensions with reasonable score allocation. The scoring adopts a hierarchical system, and the higher the score, the stronger the student's thinking ability in chronic disease management. The scoring shall be objectively determined based on the student's performance in case analysis, management plan formulation, and thinking expression, combined with the characteristics of primary care chronic disease management.</w:t>
      </w:r>
    </w:p>
    <w:p w14:paraId="487DC5E2">
      <w:pPr>
        <w:spacing w:before="120" w:after="120" w:line="288" w:lineRule="auto"/>
        <w:ind w:left="0"/>
        <w:jc w:val="left"/>
      </w:pPr>
      <w:r>
        <w:rPr>
          <w:rFonts w:ascii="Arial" w:hAnsi="Arial" w:eastAsia="等线" w:cs="Arial"/>
          <w:b/>
          <w:sz w:val="22"/>
        </w:rPr>
        <w:t>Definition of Scoring Levels</w:t>
      </w:r>
      <w:r>
        <w:rPr>
          <w:rFonts w:ascii="Arial" w:hAnsi="Arial" w:eastAsia="等线" w:cs="Arial"/>
          <w:sz w:val="22"/>
        </w:rPr>
        <w:t>: 0-20% of the dimension score (Poor): No relevant management thinking, serious deviations, unable to meet basic primary care chronic disease management requirements; 21%-40% (Fair): Weak management thinking, incomplete consideration, obvious omissions in core links; 41%-60% (Average): Basic management thinking, able to cover core links, with certain rationality but insufficient comprehensiveness; 61%-80% (Good): Clear management thinking, comprehensive consideration of core links, in line with primary care practice, with slight optimization space; 81%-100% (Excellent): Rigorous and systematic management thinking, fully consistent with primary care chronic disease management concepts, comprehensive and targeted, able to flexibly apply relevant knowledge.</w:t>
      </w:r>
    </w:p>
    <w:tbl>
      <w:tblPr>
        <w:tblStyle w:val="2"/>
        <w:tblW w:w="8521" w:type="dxa"/>
        <w:jc w:val="center"/>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autofit"/>
        <w:tblCellMar>
          <w:top w:w="0" w:type="dxa"/>
          <w:left w:w="10" w:type="dxa"/>
          <w:bottom w:w="0" w:type="dxa"/>
          <w:right w:w="10" w:type="dxa"/>
        </w:tblCellMar>
      </w:tblPr>
      <w:tblGrid>
        <w:gridCol w:w="2249"/>
        <w:gridCol w:w="1365"/>
        <w:gridCol w:w="2482"/>
        <w:gridCol w:w="852"/>
        <w:gridCol w:w="1573"/>
      </w:tblGrid>
      <w:tr w14:paraId="16410E9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tblHeader/>
          <w:jc w:val="center"/>
        </w:trPr>
        <w:tc>
          <w:tcPr>
            <w:tcW w:w="2258" w:type="dxa"/>
            <w:tcBorders>
              <w:top w:val="single" w:color="auto" w:sz="4" w:space="0"/>
              <w:bottom w:val="single" w:color="auto" w:sz="4" w:space="0"/>
            </w:tcBorders>
            <w:tcMar>
              <w:top w:w="60" w:type="dxa"/>
              <w:left w:w="120" w:type="dxa"/>
              <w:bottom w:w="30" w:type="dxa"/>
              <w:right w:w="120" w:type="dxa"/>
            </w:tcMar>
            <w:vAlign w:val="center"/>
          </w:tcPr>
          <w:p w14:paraId="7FC74C14">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Evaluation Dimensions</w:t>
            </w:r>
          </w:p>
        </w:tc>
        <w:tc>
          <w:tcPr>
            <w:tcW w:w="1332" w:type="dxa"/>
            <w:tcBorders>
              <w:top w:val="single" w:color="auto" w:sz="4" w:space="0"/>
              <w:bottom w:val="single" w:color="auto" w:sz="4" w:space="0"/>
            </w:tcBorders>
            <w:tcMar>
              <w:top w:w="60" w:type="dxa"/>
              <w:left w:w="120" w:type="dxa"/>
              <w:bottom w:w="30" w:type="dxa"/>
              <w:right w:w="120" w:type="dxa"/>
            </w:tcMar>
            <w:vAlign w:val="center"/>
          </w:tcPr>
          <w:p w14:paraId="3CB37225">
            <w:pPr>
              <w:keepNext/>
              <w:snapToGrid w:val="0"/>
              <w:spacing w:before="120" w:after="120" w:line="240" w:lineRule="auto"/>
              <w:ind w:left="0" w:leftChars="0" w:right="0" w:rightChars="0" w:firstLine="0" w:firstLineChars="0"/>
              <w:jc w:val="center"/>
              <w:rPr>
                <w:rFonts w:ascii="Arial" w:hAnsi="Arial" w:eastAsia="等线" w:cs="Arial"/>
                <w:b/>
                <w:sz w:val="22"/>
              </w:rPr>
            </w:pPr>
            <w:r>
              <w:rPr>
                <w:rFonts w:ascii="Arial" w:hAnsi="Arial" w:eastAsia="等线" w:cs="Arial"/>
                <w:b/>
                <w:sz w:val="22"/>
              </w:rPr>
              <w:t xml:space="preserve">Dimension Score </w:t>
            </w:r>
          </w:p>
          <w:p w14:paraId="1199304D">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(Total 100 points)</w:t>
            </w:r>
          </w:p>
        </w:tc>
        <w:tc>
          <w:tcPr>
            <w:tcW w:w="2498" w:type="dxa"/>
            <w:tcBorders>
              <w:top w:val="single" w:color="auto" w:sz="4" w:space="0"/>
              <w:bottom w:val="single" w:color="auto" w:sz="4" w:space="0"/>
            </w:tcBorders>
            <w:tcMar>
              <w:top w:w="60" w:type="dxa"/>
              <w:left w:w="120" w:type="dxa"/>
              <w:bottom w:w="30" w:type="dxa"/>
              <w:right w:w="120" w:type="dxa"/>
            </w:tcMar>
            <w:vAlign w:val="center"/>
          </w:tcPr>
          <w:p w14:paraId="46D817A7">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Scoring Standards</w:t>
            </w:r>
          </w:p>
        </w:tc>
        <w:tc>
          <w:tcPr>
            <w:tcW w:w="849" w:type="dxa"/>
            <w:tcBorders>
              <w:top w:val="single" w:color="auto" w:sz="4" w:space="0"/>
              <w:bottom w:val="single" w:color="auto" w:sz="4" w:space="0"/>
            </w:tcBorders>
            <w:tcMar>
              <w:top w:w="60" w:type="dxa"/>
              <w:left w:w="120" w:type="dxa"/>
              <w:bottom w:w="30" w:type="dxa"/>
              <w:right w:w="120" w:type="dxa"/>
            </w:tcMar>
            <w:vAlign w:val="center"/>
          </w:tcPr>
          <w:p w14:paraId="345AFEDB">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Score</w:t>
            </w:r>
          </w:p>
        </w:tc>
        <w:tc>
          <w:tcPr>
            <w:tcW w:w="1567" w:type="dxa"/>
            <w:tcBorders>
              <w:top w:val="single" w:color="auto" w:sz="4" w:space="0"/>
              <w:bottom w:val="single" w:color="auto" w:sz="4" w:space="0"/>
            </w:tcBorders>
            <w:tcMar>
              <w:top w:w="60" w:type="dxa"/>
              <w:left w:w="120" w:type="dxa"/>
              <w:bottom w:w="30" w:type="dxa"/>
              <w:right w:w="120" w:type="dxa"/>
            </w:tcMar>
            <w:vAlign w:val="center"/>
          </w:tcPr>
          <w:p w14:paraId="10EEC14F">
            <w:pPr>
              <w:keepNext/>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Remarks (Specific thinking performance can be recorded)</w:t>
            </w:r>
          </w:p>
        </w:tc>
      </w:tr>
      <w:tr w14:paraId="72CE4C5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258" w:type="dxa"/>
            <w:tcBorders>
              <w:top w:val="single" w:color="auto" w:sz="4" w:space="0"/>
            </w:tcBorders>
            <w:tcMar>
              <w:top w:w="60" w:type="dxa"/>
              <w:left w:w="120" w:type="dxa"/>
              <w:bottom w:w="30" w:type="dxa"/>
              <w:right w:w="120" w:type="dxa"/>
            </w:tcMar>
            <w:vAlign w:val="center"/>
          </w:tcPr>
          <w:p w14:paraId="5E6EFFC6">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 Chronic Disease Assessment Thinking (15 points)</w:t>
            </w:r>
            <w:r>
              <w:rPr>
                <w:rFonts w:ascii="Arial" w:hAnsi="Arial" w:eastAsia="等线" w:cs="Arial"/>
                <w:sz w:val="22"/>
              </w:rPr>
              <w:t>(Core: Ability to comprehensively assess the patient's chronic disease status, including disease severity, control level, and related risk factors)</w:t>
            </w:r>
          </w:p>
        </w:tc>
        <w:tc>
          <w:tcPr>
            <w:tcW w:w="1332" w:type="dxa"/>
            <w:tcBorders>
              <w:top w:val="single" w:color="auto" w:sz="4" w:space="0"/>
            </w:tcBorders>
            <w:tcMar>
              <w:top w:w="60" w:type="dxa"/>
              <w:left w:w="120" w:type="dxa"/>
              <w:bottom w:w="30" w:type="dxa"/>
              <w:right w:w="120" w:type="dxa"/>
            </w:tcMar>
            <w:vAlign w:val="center"/>
          </w:tcPr>
          <w:p w14:paraId="7DF3F803">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15</w:t>
            </w:r>
          </w:p>
        </w:tc>
        <w:tc>
          <w:tcPr>
            <w:tcW w:w="2498" w:type="dxa"/>
            <w:tcBorders>
              <w:top w:val="single" w:color="auto" w:sz="4" w:space="0"/>
            </w:tcBorders>
            <w:tcMar>
              <w:top w:w="60" w:type="dxa"/>
              <w:left w:w="120" w:type="dxa"/>
              <w:bottom w:w="30" w:type="dxa"/>
              <w:right w:w="120" w:type="dxa"/>
            </w:tcMar>
            <w:vAlign w:val="center"/>
          </w:tcPr>
          <w:p w14:paraId="301E6CC3">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0-3 points: Unable to assess the patient's chronic disease status, unable to identify key risk factors; 4-6 points: Can simply describe the disease status, but fails to comprehensively identify risk factors; 7-9 points: Can assess the main disease status and key risk factors, with slight omissions; 10-12 points: Can comprehensively assess the disease status, risk factors, and control level, basically accurate; 13-15 points: Can systematically and accurately assess the disease status, risk factors, control level, and potential health risks, with clear thinking.</w:t>
            </w:r>
          </w:p>
        </w:tc>
        <w:tc>
          <w:tcPr>
            <w:tcW w:w="849" w:type="dxa"/>
            <w:tcBorders>
              <w:top w:val="single" w:color="auto" w:sz="4" w:space="0"/>
            </w:tcBorders>
            <w:tcMar>
              <w:top w:w="60" w:type="dxa"/>
              <w:left w:w="120" w:type="dxa"/>
              <w:bottom w:w="30" w:type="dxa"/>
              <w:right w:w="120" w:type="dxa"/>
            </w:tcMar>
            <w:vAlign w:val="center"/>
          </w:tcPr>
          <w:p w14:paraId="369A4EEA">
            <w:pPr>
              <w:keepNext/>
              <w:snapToGrid w:val="0"/>
              <w:spacing w:before="120" w:after="120" w:line="240" w:lineRule="auto"/>
              <w:ind w:left="0" w:leftChars="0" w:right="0" w:rightChars="0" w:firstLine="0" w:firstLineChars="0"/>
              <w:jc w:val="center"/>
              <w:rPr>
                <w:rFonts w:ascii="Arial" w:eastAsia="等线"/>
                <w:sz w:val="22"/>
              </w:rPr>
            </w:pPr>
          </w:p>
        </w:tc>
        <w:tc>
          <w:tcPr>
            <w:tcW w:w="1567" w:type="dxa"/>
            <w:tcBorders>
              <w:top w:val="single" w:color="auto" w:sz="4" w:space="0"/>
            </w:tcBorders>
            <w:tcMar>
              <w:top w:w="60" w:type="dxa"/>
              <w:left w:w="120" w:type="dxa"/>
              <w:bottom w:w="30" w:type="dxa"/>
              <w:right w:w="120" w:type="dxa"/>
            </w:tcMar>
            <w:vAlign w:val="center"/>
          </w:tcPr>
          <w:p w14:paraId="0C2B79B0">
            <w:pPr>
              <w:keepNext/>
              <w:snapToGrid w:val="0"/>
              <w:spacing w:before="120" w:after="120" w:line="240" w:lineRule="auto"/>
              <w:ind w:left="0" w:leftChars="0" w:right="0" w:rightChars="0" w:firstLine="0" w:firstLineChars="0"/>
              <w:jc w:val="center"/>
              <w:rPr>
                <w:rFonts w:ascii="Arial" w:eastAsia="等线"/>
                <w:sz w:val="22"/>
              </w:rPr>
            </w:pPr>
          </w:p>
        </w:tc>
      </w:tr>
      <w:tr w14:paraId="4DC8F8B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258" w:type="dxa"/>
            <w:tcMar>
              <w:top w:w="60" w:type="dxa"/>
              <w:left w:w="120" w:type="dxa"/>
              <w:bottom w:w="30" w:type="dxa"/>
              <w:right w:w="120" w:type="dxa"/>
            </w:tcMar>
            <w:vAlign w:val="center"/>
          </w:tcPr>
          <w:p w14:paraId="1367E581">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II. Continuous Management Thinking (25 points)</w:t>
            </w:r>
            <w:r>
              <w:rPr>
                <w:rFonts w:ascii="Arial" w:hAnsi="Arial" w:eastAsia="等线" w:cs="Arial"/>
                <w:sz w:val="22"/>
              </w:rPr>
              <w:t>(Core: Ability to establish a long-term continuous management concept, including regular monitoring, dynamic adjustment, and whole-course intervention)</w:t>
            </w:r>
          </w:p>
        </w:tc>
        <w:tc>
          <w:tcPr>
            <w:tcW w:w="1332" w:type="dxa"/>
            <w:tcMar>
              <w:top w:w="60" w:type="dxa"/>
              <w:left w:w="120" w:type="dxa"/>
              <w:bottom w:w="30" w:type="dxa"/>
              <w:right w:w="120" w:type="dxa"/>
            </w:tcMar>
            <w:vAlign w:val="center"/>
          </w:tcPr>
          <w:p w14:paraId="7DAFFD95">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25</w:t>
            </w:r>
          </w:p>
        </w:tc>
        <w:tc>
          <w:tcPr>
            <w:tcW w:w="2498" w:type="dxa"/>
            <w:tcMar>
              <w:top w:w="60" w:type="dxa"/>
              <w:left w:w="120" w:type="dxa"/>
              <w:bottom w:w="30" w:type="dxa"/>
              <w:right w:w="120" w:type="dxa"/>
            </w:tcMar>
            <w:vAlign w:val="center"/>
          </w:tcPr>
          <w:p w14:paraId="28CB40B2">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0-5 points: No awareness of continuous management, only focusing on short-term treatment, ignoring long-term monitoring and follow-up; 6-10 points: Basic awareness of continuous management, but no clear long-term management plan; 11-15 points: Has a clear continuous management concept, can propose a basic long-term management plan, with incomplete monitoring indicators; 16-20 points: Has a systematic continuous management concept, can formulate a complete long-term management plan, including regular monitoring and dynamic adjustment; 21-25 points: Has a rigorous continuous management concept, can formulate personalized long-term management plans, and flexibly adjust the plan according to the patient's dynamic status.</w:t>
            </w:r>
          </w:p>
        </w:tc>
        <w:tc>
          <w:tcPr>
            <w:tcW w:w="849" w:type="dxa"/>
            <w:tcMar>
              <w:top w:w="60" w:type="dxa"/>
              <w:left w:w="120" w:type="dxa"/>
              <w:bottom w:w="30" w:type="dxa"/>
              <w:right w:w="120" w:type="dxa"/>
            </w:tcMar>
            <w:vAlign w:val="center"/>
          </w:tcPr>
          <w:p w14:paraId="39563B51">
            <w:pPr>
              <w:keepNext/>
              <w:snapToGrid w:val="0"/>
              <w:spacing w:before="120" w:after="120" w:line="240" w:lineRule="auto"/>
              <w:ind w:left="0" w:leftChars="0" w:right="0" w:rightChars="0" w:firstLine="0" w:firstLineChars="0"/>
              <w:jc w:val="center"/>
              <w:rPr>
                <w:rFonts w:ascii="Arial" w:eastAsia="等线"/>
                <w:sz w:val="22"/>
              </w:rPr>
            </w:pPr>
          </w:p>
        </w:tc>
        <w:tc>
          <w:tcPr>
            <w:tcW w:w="1567" w:type="dxa"/>
            <w:tcMar>
              <w:top w:w="60" w:type="dxa"/>
              <w:left w:w="120" w:type="dxa"/>
              <w:bottom w:w="30" w:type="dxa"/>
              <w:right w:w="120" w:type="dxa"/>
            </w:tcMar>
            <w:vAlign w:val="center"/>
          </w:tcPr>
          <w:p w14:paraId="5E19E038">
            <w:pPr>
              <w:keepNext/>
              <w:snapToGrid w:val="0"/>
              <w:spacing w:before="120" w:after="120" w:line="240" w:lineRule="auto"/>
              <w:ind w:left="0" w:leftChars="0" w:right="0" w:rightChars="0" w:firstLine="0" w:firstLineChars="0"/>
              <w:jc w:val="center"/>
              <w:rPr>
                <w:rFonts w:ascii="Arial" w:eastAsia="等线"/>
                <w:sz w:val="22"/>
              </w:rPr>
            </w:pPr>
          </w:p>
        </w:tc>
      </w:tr>
      <w:tr w14:paraId="675D319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258" w:type="dxa"/>
            <w:tcMar>
              <w:top w:w="60" w:type="dxa"/>
              <w:left w:w="120" w:type="dxa"/>
              <w:bottom w:w="30" w:type="dxa"/>
              <w:right w:w="120" w:type="dxa"/>
            </w:tcMar>
            <w:vAlign w:val="center"/>
          </w:tcPr>
          <w:p w14:paraId="31966BDC">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III. Individualized Intervention Thinking (25 points)</w:t>
            </w:r>
            <w:r>
              <w:rPr>
                <w:rFonts w:ascii="Arial" w:hAnsi="Arial" w:eastAsia="等线" w:cs="Arial"/>
                <w:sz w:val="22"/>
              </w:rPr>
              <w:t>(Core: Ability to formulate individualized intervention plans based on the patient's age, underlying diseases, lifestyle, and compliance)</w:t>
            </w:r>
          </w:p>
        </w:tc>
        <w:tc>
          <w:tcPr>
            <w:tcW w:w="1332" w:type="dxa"/>
            <w:tcMar>
              <w:top w:w="60" w:type="dxa"/>
              <w:left w:w="120" w:type="dxa"/>
              <w:bottom w:w="30" w:type="dxa"/>
              <w:right w:w="120" w:type="dxa"/>
            </w:tcMar>
            <w:vAlign w:val="center"/>
          </w:tcPr>
          <w:p w14:paraId="65504B99">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25</w:t>
            </w:r>
          </w:p>
        </w:tc>
        <w:tc>
          <w:tcPr>
            <w:tcW w:w="2498" w:type="dxa"/>
            <w:tcMar>
              <w:top w:w="60" w:type="dxa"/>
              <w:left w:w="120" w:type="dxa"/>
              <w:bottom w:w="30" w:type="dxa"/>
              <w:right w:w="120" w:type="dxa"/>
            </w:tcMar>
            <w:vAlign w:val="center"/>
          </w:tcPr>
          <w:p w14:paraId="641E70C9">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0-5 points: Formulates a uniform intervention plan, ignoring the patient's individual differences; 6-10 points: Can consider a small number of individual factors, but the intervention plan is not targeted; 11-15 points: Can consider main individual factors (age, underlying diseases), and the intervention plan is basically targeted; 16-20 points: Can comprehensively consider individual factors, formulate a targeted intervention plan, including medication, lifestyle, and psychological intervention; 21-25 points: Can comprehensively and accurately grasp individual differences, formulate a scientific and personalized intervention plan, and fully consider the patient's compliance and implementation feasibility.</w:t>
            </w:r>
          </w:p>
        </w:tc>
        <w:tc>
          <w:tcPr>
            <w:tcW w:w="849" w:type="dxa"/>
            <w:tcMar>
              <w:top w:w="60" w:type="dxa"/>
              <w:left w:w="120" w:type="dxa"/>
              <w:bottom w:w="30" w:type="dxa"/>
              <w:right w:w="120" w:type="dxa"/>
            </w:tcMar>
            <w:vAlign w:val="center"/>
          </w:tcPr>
          <w:p w14:paraId="57AE0A50">
            <w:pPr>
              <w:keepNext/>
              <w:snapToGrid w:val="0"/>
              <w:spacing w:before="120" w:after="120" w:line="240" w:lineRule="auto"/>
              <w:ind w:left="0" w:leftChars="0" w:right="0" w:rightChars="0" w:firstLine="0" w:firstLineChars="0"/>
              <w:jc w:val="center"/>
              <w:rPr>
                <w:rFonts w:ascii="Arial" w:eastAsia="等线"/>
                <w:sz w:val="22"/>
              </w:rPr>
            </w:pPr>
          </w:p>
        </w:tc>
        <w:tc>
          <w:tcPr>
            <w:tcW w:w="1567" w:type="dxa"/>
            <w:tcMar>
              <w:top w:w="60" w:type="dxa"/>
              <w:left w:w="120" w:type="dxa"/>
              <w:bottom w:w="30" w:type="dxa"/>
              <w:right w:w="120" w:type="dxa"/>
            </w:tcMar>
            <w:vAlign w:val="center"/>
          </w:tcPr>
          <w:p w14:paraId="6E3B0357">
            <w:pPr>
              <w:keepNext/>
              <w:snapToGrid w:val="0"/>
              <w:spacing w:before="120" w:after="120" w:line="240" w:lineRule="auto"/>
              <w:ind w:left="0" w:leftChars="0" w:right="0" w:rightChars="0" w:firstLine="0" w:firstLineChars="0"/>
              <w:jc w:val="center"/>
              <w:rPr>
                <w:rFonts w:ascii="Arial" w:eastAsia="等线"/>
                <w:sz w:val="22"/>
              </w:rPr>
            </w:pPr>
          </w:p>
        </w:tc>
      </w:tr>
      <w:tr w14:paraId="312E45C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258" w:type="dxa"/>
            <w:tcMar>
              <w:top w:w="60" w:type="dxa"/>
              <w:left w:w="120" w:type="dxa"/>
              <w:bottom w:w="30" w:type="dxa"/>
              <w:right w:w="120" w:type="dxa"/>
            </w:tcMar>
            <w:vAlign w:val="center"/>
          </w:tcPr>
          <w:p w14:paraId="2F901896">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IV. Community Follow-up Thinking (25 points)</w:t>
            </w:r>
            <w:r>
              <w:rPr>
                <w:rFonts w:ascii="Arial" w:hAnsi="Arial" w:eastAsia="等线" w:cs="Arial"/>
                <w:sz w:val="22"/>
              </w:rPr>
              <w:t>(Core: Ability to design scientific community follow-up plans, including follow-up frequency, content, and problem handling)</w:t>
            </w:r>
          </w:p>
        </w:tc>
        <w:tc>
          <w:tcPr>
            <w:tcW w:w="1332" w:type="dxa"/>
            <w:tcMar>
              <w:top w:w="60" w:type="dxa"/>
              <w:left w:w="120" w:type="dxa"/>
              <w:bottom w:w="30" w:type="dxa"/>
              <w:right w:w="120" w:type="dxa"/>
            </w:tcMar>
            <w:vAlign w:val="center"/>
          </w:tcPr>
          <w:p w14:paraId="0328ED33">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25</w:t>
            </w:r>
          </w:p>
        </w:tc>
        <w:tc>
          <w:tcPr>
            <w:tcW w:w="2498" w:type="dxa"/>
            <w:tcMar>
              <w:top w:w="60" w:type="dxa"/>
              <w:left w:w="120" w:type="dxa"/>
              <w:bottom w:w="30" w:type="dxa"/>
              <w:right w:w="120" w:type="dxa"/>
            </w:tcMar>
            <w:vAlign w:val="center"/>
          </w:tcPr>
          <w:p w14:paraId="7BDF3C60">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0-5 points: No clear follow-up plan, unable to determine follow-up frequency and content; 6-10 points: Has a basic follow-up plan, but the follow-up frequency and content are unreasonable; 11-15 points: Can design a basic follow-up plan, with reasonable follow-up frequency and main follow-up content; 16-20 points: Can design a scientific follow-up plan, with reasonable frequency, comprehensive content, and clear handling measures for common follow-up problems; 21-25 points: Can design a personalized community follow-up plan, with scientific frequency, comprehensive content, and flexible handling measures for complex follow-up problems, in line with primary care follow-up standards.</w:t>
            </w:r>
          </w:p>
        </w:tc>
        <w:tc>
          <w:tcPr>
            <w:tcW w:w="849" w:type="dxa"/>
            <w:tcMar>
              <w:top w:w="60" w:type="dxa"/>
              <w:left w:w="120" w:type="dxa"/>
              <w:bottom w:w="30" w:type="dxa"/>
              <w:right w:w="120" w:type="dxa"/>
            </w:tcMar>
            <w:vAlign w:val="center"/>
          </w:tcPr>
          <w:p w14:paraId="464DF425">
            <w:pPr>
              <w:keepNext/>
              <w:snapToGrid w:val="0"/>
              <w:spacing w:before="120" w:after="120" w:line="240" w:lineRule="auto"/>
              <w:ind w:left="0" w:leftChars="0" w:right="0" w:rightChars="0" w:firstLine="0" w:firstLineChars="0"/>
              <w:jc w:val="center"/>
              <w:rPr>
                <w:rFonts w:ascii="Arial" w:eastAsia="等线"/>
                <w:sz w:val="22"/>
              </w:rPr>
            </w:pPr>
          </w:p>
        </w:tc>
        <w:tc>
          <w:tcPr>
            <w:tcW w:w="1567" w:type="dxa"/>
            <w:tcMar>
              <w:top w:w="60" w:type="dxa"/>
              <w:left w:w="120" w:type="dxa"/>
              <w:bottom w:w="30" w:type="dxa"/>
              <w:right w:w="120" w:type="dxa"/>
            </w:tcMar>
            <w:vAlign w:val="center"/>
          </w:tcPr>
          <w:p w14:paraId="741E475F">
            <w:pPr>
              <w:keepNext/>
              <w:snapToGrid w:val="0"/>
              <w:spacing w:before="120" w:after="120" w:line="240" w:lineRule="auto"/>
              <w:ind w:left="0" w:leftChars="0" w:right="0" w:rightChars="0" w:firstLine="0" w:firstLineChars="0"/>
              <w:jc w:val="center"/>
              <w:rPr>
                <w:rFonts w:ascii="Arial" w:eastAsia="等线"/>
                <w:sz w:val="22"/>
              </w:rPr>
            </w:pPr>
          </w:p>
        </w:tc>
      </w:tr>
      <w:tr w14:paraId="1DFDBFC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258" w:type="dxa"/>
            <w:tcMar>
              <w:top w:w="60" w:type="dxa"/>
              <w:left w:w="120" w:type="dxa"/>
              <w:bottom w:w="30" w:type="dxa"/>
              <w:right w:w="120" w:type="dxa"/>
            </w:tcMar>
            <w:vAlign w:val="center"/>
          </w:tcPr>
          <w:p w14:paraId="2FADEF76">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b/>
                <w:sz w:val="22"/>
              </w:rPr>
              <w:t>V. Health Education Thinking (5 points)</w:t>
            </w:r>
            <w:r>
              <w:rPr>
                <w:rFonts w:ascii="Arial" w:hAnsi="Arial" w:eastAsia="等线" w:cs="Arial"/>
                <w:sz w:val="22"/>
              </w:rPr>
              <w:t>(Core: Ability to provide targeted health education based on the patient's chronic disease type and individual characteristics)</w:t>
            </w:r>
          </w:p>
        </w:tc>
        <w:tc>
          <w:tcPr>
            <w:tcW w:w="1332" w:type="dxa"/>
            <w:tcMar>
              <w:top w:w="60" w:type="dxa"/>
              <w:left w:w="120" w:type="dxa"/>
              <w:bottom w:w="30" w:type="dxa"/>
              <w:right w:w="120" w:type="dxa"/>
            </w:tcMar>
            <w:vAlign w:val="center"/>
          </w:tcPr>
          <w:p w14:paraId="248388FF">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5</w:t>
            </w:r>
          </w:p>
        </w:tc>
        <w:tc>
          <w:tcPr>
            <w:tcW w:w="2498" w:type="dxa"/>
            <w:tcMar>
              <w:top w:w="60" w:type="dxa"/>
              <w:left w:w="120" w:type="dxa"/>
              <w:bottom w:w="30" w:type="dxa"/>
              <w:right w:w="120" w:type="dxa"/>
            </w:tcMar>
            <w:vAlign w:val="center"/>
          </w:tcPr>
          <w:p w14:paraId="2BFF7AE6">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0-1 point: No relevant health education content or irrelevant content; 2 points: Can provide simple health education, but not targeted; 3 points: Can provide targeted health education, covering key knowledge; 4 points: Can provide comprehensive and targeted health education, easy for patients to understand; 5 points: Can provide personalized, comprehensive, and practical health education, combined with the patient's acceptance level.</w:t>
            </w:r>
          </w:p>
        </w:tc>
        <w:tc>
          <w:tcPr>
            <w:tcW w:w="849" w:type="dxa"/>
            <w:tcMar>
              <w:top w:w="60" w:type="dxa"/>
              <w:left w:w="120" w:type="dxa"/>
              <w:bottom w:w="30" w:type="dxa"/>
              <w:right w:w="120" w:type="dxa"/>
            </w:tcMar>
            <w:vAlign w:val="center"/>
          </w:tcPr>
          <w:p w14:paraId="3BF9BDC0">
            <w:pPr>
              <w:keepNext/>
              <w:snapToGrid w:val="0"/>
              <w:spacing w:before="120" w:after="120" w:line="240" w:lineRule="auto"/>
              <w:ind w:left="0" w:leftChars="0" w:right="0" w:rightChars="0" w:firstLine="0" w:firstLineChars="0"/>
              <w:jc w:val="center"/>
              <w:rPr>
                <w:rFonts w:ascii="Arial" w:eastAsia="等线"/>
                <w:sz w:val="22"/>
              </w:rPr>
            </w:pPr>
          </w:p>
        </w:tc>
        <w:tc>
          <w:tcPr>
            <w:tcW w:w="1567" w:type="dxa"/>
            <w:tcMar>
              <w:top w:w="60" w:type="dxa"/>
              <w:left w:w="120" w:type="dxa"/>
              <w:bottom w:w="30" w:type="dxa"/>
              <w:right w:w="120" w:type="dxa"/>
            </w:tcMar>
            <w:vAlign w:val="center"/>
          </w:tcPr>
          <w:p w14:paraId="0263F25C">
            <w:pPr>
              <w:keepNext/>
              <w:snapToGrid w:val="0"/>
              <w:spacing w:before="120" w:after="120" w:line="240" w:lineRule="auto"/>
              <w:ind w:left="0" w:leftChars="0" w:right="0" w:rightChars="0" w:firstLine="0" w:firstLineChars="0"/>
              <w:jc w:val="center"/>
              <w:rPr>
                <w:rFonts w:ascii="Arial" w:eastAsia="等线"/>
                <w:sz w:val="22"/>
              </w:rPr>
            </w:pPr>
          </w:p>
        </w:tc>
      </w:tr>
      <w:tr w14:paraId="5EB3CB2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2258" w:type="dxa"/>
            <w:tcBorders>
              <w:bottom w:val="single" w:color="auto" w:sz="4" w:space="0"/>
            </w:tcBorders>
            <w:tcMar>
              <w:top w:w="60" w:type="dxa"/>
              <w:left w:w="120" w:type="dxa"/>
              <w:bottom w:w="30" w:type="dxa"/>
              <w:right w:w="120" w:type="dxa"/>
            </w:tcMar>
            <w:vAlign w:val="center"/>
          </w:tcPr>
          <w:p w14:paraId="02B84DD9">
            <w:pPr>
              <w:keepNext/>
              <w:snapToGrid w:val="0"/>
              <w:spacing w:before="120" w:after="120" w:line="240" w:lineRule="auto"/>
              <w:ind w:left="0" w:leftChars="0" w:right="0" w:rightChars="0" w:firstLine="0" w:firstLineChars="0"/>
              <w:jc w:val="left"/>
              <w:rPr>
                <w:rFonts w:ascii="Arial" w:eastAsia="等线"/>
                <w:sz w:val="22"/>
              </w:rPr>
            </w:pPr>
            <w:bookmarkStart w:id="0" w:name="_GoBack" w:colFirst="0" w:colLast="4"/>
            <w:r>
              <w:rPr>
                <w:rFonts w:ascii="Arial" w:hAnsi="Arial" w:eastAsia="等线" w:cs="Arial"/>
                <w:b/>
                <w:sz w:val="22"/>
              </w:rPr>
              <w:t>VI. Complication Prevention Thinking (10 points)</w:t>
            </w:r>
            <w:r>
              <w:rPr>
                <w:rFonts w:ascii="Arial" w:hAnsi="Arial" w:eastAsia="等线" w:cs="Arial"/>
                <w:sz w:val="22"/>
              </w:rPr>
              <w:t>(Core: Ability to identify potential complications of chronic diseases and formulate preventive measures)</w:t>
            </w:r>
          </w:p>
        </w:tc>
        <w:tc>
          <w:tcPr>
            <w:tcW w:w="1332" w:type="dxa"/>
            <w:tcBorders>
              <w:bottom w:val="single" w:color="auto" w:sz="4" w:space="0"/>
            </w:tcBorders>
            <w:tcMar>
              <w:top w:w="60" w:type="dxa"/>
              <w:left w:w="120" w:type="dxa"/>
              <w:bottom w:w="30" w:type="dxa"/>
              <w:right w:w="120" w:type="dxa"/>
            </w:tcMar>
            <w:vAlign w:val="center"/>
          </w:tcPr>
          <w:p w14:paraId="03AA7F1D">
            <w:pPr>
              <w:keepNext/>
              <w:snapToGrid w:val="0"/>
              <w:spacing w:before="120" w:after="120" w:line="240" w:lineRule="auto"/>
              <w:ind w:left="0" w:leftChars="0" w:right="0" w:rightChars="0" w:firstLine="0" w:firstLineChars="0"/>
              <w:jc w:val="right"/>
              <w:rPr>
                <w:rFonts w:ascii="Arial" w:eastAsia="等线"/>
                <w:sz w:val="22"/>
              </w:rPr>
            </w:pPr>
            <w:r>
              <w:rPr>
                <w:rFonts w:ascii="Arial" w:hAnsi="Arial" w:eastAsia="等线" w:cs="Arial"/>
                <w:sz w:val="22"/>
              </w:rPr>
              <w:t>10</w:t>
            </w:r>
          </w:p>
        </w:tc>
        <w:tc>
          <w:tcPr>
            <w:tcW w:w="2498" w:type="dxa"/>
            <w:tcBorders>
              <w:bottom w:val="single" w:color="auto" w:sz="4" w:space="0"/>
            </w:tcBorders>
            <w:tcMar>
              <w:top w:w="60" w:type="dxa"/>
              <w:left w:w="120" w:type="dxa"/>
              <w:bottom w:w="30" w:type="dxa"/>
              <w:right w:w="120" w:type="dxa"/>
            </w:tcMar>
            <w:vAlign w:val="center"/>
          </w:tcPr>
          <w:p w14:paraId="18B297C1">
            <w:pPr>
              <w:keepNext/>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0-2 points: Unable to identify potential complications, no preventive measures; 3-4 points: Can identify a small number of common complications, but no clear preventive measures; 5-6 points: Can identify main common complications and propose basic preventive measures; 7-8 points: Can comprehensively identify potential complications and formulate specific preventive measures; 9-10 points: Can systematically identify potential complications, formulate scientific and targeted preventive measures, and integrate them into the overall management plan.</w:t>
            </w:r>
          </w:p>
        </w:tc>
        <w:tc>
          <w:tcPr>
            <w:tcW w:w="849" w:type="dxa"/>
            <w:tcBorders>
              <w:bottom w:val="single" w:color="auto" w:sz="4" w:space="0"/>
            </w:tcBorders>
            <w:tcMar>
              <w:top w:w="60" w:type="dxa"/>
              <w:left w:w="120" w:type="dxa"/>
              <w:bottom w:w="30" w:type="dxa"/>
              <w:right w:w="120" w:type="dxa"/>
            </w:tcMar>
            <w:vAlign w:val="center"/>
          </w:tcPr>
          <w:p w14:paraId="54FB7F41">
            <w:pPr>
              <w:keepNext/>
              <w:snapToGrid w:val="0"/>
              <w:spacing w:before="120" w:after="120" w:line="240" w:lineRule="auto"/>
              <w:ind w:left="0" w:leftChars="0" w:right="0" w:rightChars="0" w:firstLine="0" w:firstLineChars="0"/>
              <w:jc w:val="center"/>
              <w:rPr>
                <w:rFonts w:ascii="Arial" w:eastAsia="等线"/>
                <w:sz w:val="22"/>
              </w:rPr>
            </w:pPr>
          </w:p>
        </w:tc>
        <w:tc>
          <w:tcPr>
            <w:tcW w:w="1567" w:type="dxa"/>
            <w:tcBorders>
              <w:bottom w:val="single" w:color="auto" w:sz="4" w:space="0"/>
            </w:tcBorders>
            <w:tcMar>
              <w:top w:w="60" w:type="dxa"/>
              <w:left w:w="120" w:type="dxa"/>
              <w:bottom w:w="30" w:type="dxa"/>
              <w:right w:w="120" w:type="dxa"/>
            </w:tcMar>
            <w:vAlign w:val="center"/>
          </w:tcPr>
          <w:p w14:paraId="3ACE6724">
            <w:pPr>
              <w:keepNext/>
              <w:snapToGrid w:val="0"/>
              <w:spacing w:before="120" w:after="120" w:line="240" w:lineRule="auto"/>
              <w:ind w:left="0" w:leftChars="0" w:right="0" w:rightChars="0" w:firstLine="0" w:firstLineChars="0"/>
              <w:jc w:val="center"/>
              <w:rPr>
                <w:rFonts w:ascii="Arial" w:eastAsia="等线"/>
                <w:sz w:val="22"/>
              </w:rPr>
            </w:pPr>
          </w:p>
        </w:tc>
      </w:tr>
      <w:bookmarkEnd w:id="0"/>
    </w:tbl>
    <w:p w14:paraId="3514E4B7">
      <w:pPr>
        <w:spacing w:before="120" w:after="120" w:line="288" w:lineRule="auto"/>
        <w:ind w:left="0"/>
        <w:jc w:val="left"/>
        <w:rPr>
          <w:rFonts w:ascii="Arial" w:hAnsi="Arial" w:eastAsia="等线" w:cs="Arial"/>
          <w:b/>
          <w:sz w:val="22"/>
        </w:rPr>
      </w:pPr>
    </w:p>
    <w:p w14:paraId="4C7395CA">
      <w:pPr>
        <w:spacing w:before="120" w:after="120" w:line="288" w:lineRule="auto"/>
        <w:ind w:left="0"/>
        <w:jc w:val="left"/>
      </w:pPr>
      <w:r>
        <w:rPr>
          <w:rFonts w:ascii="Arial" w:hAnsi="Arial" w:eastAsia="等线" w:cs="Arial"/>
          <w:b/>
          <w:sz w:val="22"/>
        </w:rPr>
        <w:t>Total Score Statistics</w:t>
      </w:r>
      <w:r>
        <w:rPr>
          <w:rFonts w:ascii="Arial" w:hAnsi="Arial" w:eastAsia="等线" w:cs="Arial"/>
          <w:sz w:val="22"/>
        </w:rPr>
        <w:t>: __________ points (Full score: 100 points)</w:t>
      </w:r>
    </w:p>
    <w:p w14:paraId="718CF592">
      <w:pPr>
        <w:spacing w:before="120" w:after="120" w:line="288" w:lineRule="auto"/>
        <w:ind w:left="0"/>
        <w:jc w:val="left"/>
      </w:pPr>
      <w:r>
        <w:rPr>
          <w:rFonts w:ascii="Arial" w:hAnsi="Arial" w:eastAsia="等线" w:cs="Arial"/>
          <w:b/>
          <w:sz w:val="22"/>
        </w:rPr>
        <w:t>Ability Level Judgment</w:t>
      </w:r>
      <w:r>
        <w:rPr>
          <w:rFonts w:ascii="Arial" w:hAnsi="Arial" w:eastAsia="等线" w:cs="Arial"/>
          <w:sz w:val="22"/>
        </w:rPr>
        <w:t>: 0-59 points (Weak); 60-79 points (Medium); 80-100 points (Excellent)</w:t>
      </w:r>
    </w:p>
    <w:p w14:paraId="352918FA">
      <w:pPr>
        <w:spacing w:before="120" w:after="120" w:line="288" w:lineRule="auto"/>
        <w:ind w:left="0"/>
        <w:jc w:val="left"/>
      </w:pPr>
      <w:r>
        <w:rPr>
          <w:rFonts w:ascii="Arial" w:hAnsi="Arial" w:eastAsia="等线" w:cs="Arial"/>
          <w:b/>
          <w:sz w:val="22"/>
        </w:rPr>
        <w:t>Rater's Signature</w:t>
      </w:r>
      <w:r>
        <w:rPr>
          <w:rFonts w:ascii="Arial" w:hAnsi="Arial" w:eastAsia="等线" w:cs="Arial"/>
          <w:sz w:val="22"/>
        </w:rPr>
        <w:t xml:space="preserve">: __________ </w:t>
      </w:r>
      <w:r>
        <w:rPr>
          <w:rFonts w:ascii="Arial" w:hAnsi="Arial" w:eastAsia="等线" w:cs="Arial"/>
          <w:b/>
          <w:sz w:val="22"/>
        </w:rPr>
        <w:t>Scoring Date</w:t>
      </w:r>
      <w:r>
        <w:rPr>
          <w:rFonts w:ascii="Arial" w:hAnsi="Arial" w:eastAsia="等线" w:cs="Arial"/>
          <w:sz w:val="22"/>
        </w:rPr>
        <w:t>: __________</w:t>
      </w:r>
    </w:p>
    <w:p w14:paraId="04F9B446">
      <w:pPr>
        <w:spacing w:before="120" w:after="120" w:line="288" w:lineRule="auto"/>
        <w:ind w:left="0"/>
        <w:jc w:val="left"/>
      </w:pPr>
    </w:p>
    <w:p w14:paraId="585CCB9D">
      <w:pPr>
        <w:spacing w:before="120" w:after="120" w:line="288" w:lineRule="auto"/>
        <w:ind w:left="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F7099"/>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ADE0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118F19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918</Words>
  <Characters>6091</Characters>
  <TotalTime>0</TotalTime>
  <ScaleCrop>false</ScaleCrop>
  <LinksUpToDate>false</LinksUpToDate>
  <CharactersWithSpaces>6964</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2026-03-05T03:39:00Z</dcterms:created>
  <dc:creator>Apache POI</dc:creator>
  <cp:lastModifiedBy>邓玮</cp:lastModifiedBy>
  <dcterms:modified xsi:type="dcterms:W3CDTF">2026-03-05T03:40:33Z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eyJoZGlkIjoiYWVmMmQ2YTc3ZjgxMzNiMTc1ZGVmMGU3NTliYTkyYWUiLCJ1c2VySWQiOiIzMjE1NTg5OTUifQ==</vt:lpwstr>
  </property>
  <property fmtid="{D5CDD505-2E9C-101B-9397-08002B2CF9AE}" pid="3" name="KSOProductBuildVer">
    <vt:lpwstr>2052-12.1.0.24657</vt:lpwstr>
  </property>
  <property fmtid="{D5CDD505-2E9C-101B-9397-08002B2CF9AE}" pid="4" name="ICV">
    <vt:lpwstr>2D9197D4477E49A79B8711A8364DFE41_12</vt:lpwstr>
  </property>
</Properties>
</file>